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00"/>
      </w:pPr>
      <w:r>
        <w:rPr>
          <w:rFonts w:ascii="Arial" w:cs="Arial" w:eastAsia="Arial" w:hAnsi="Arial"/>
          <w:b/>
          <w:bCs/>
          <w:color w:val="123A5A"/>
          <w:sz w:val="40"/>
          <w:szCs w:val="40"/>
        </w:rPr>
        <w:t xml:space="preserve">Statutory Registrations &amp; Licenses Tracker</w:t>
      </w:r>
    </w:p>
    <w:p>
      <w:pPr>
        <w:spacing w:after="160"/>
      </w:pPr>
      <w:r>
        <w:rPr>
          <w:rFonts w:ascii="Arial" w:cs="Arial" w:eastAsia="Arial" w:hAnsi="Arial"/>
          <w:color w:val="6F202C"/>
          <w:sz w:val="22"/>
          <w:szCs w:val="22"/>
        </w:rPr>
        <w:t xml:space="preserve">GST • MSME / Udyam • FSSAI • PAN / TAN • other licences</w:t>
      </w:r>
    </w:p>
    <w:p>
      <w:pPr>
        <w:spacing w:after="100" w:before="0"/>
      </w:pPr>
      <w:r>
        <w:rPr>
          <w:rFonts w:ascii="Arial" w:cs="Arial" w:eastAsia="Arial" w:hAnsi="Arial"/>
          <w:color w:val="5B6770"/>
          <w:sz w:val="21"/>
          <w:szCs w:val="21"/>
        </w:rPr>
        <w:t xml:space="preserve">Track every statutory registration and licence in one place. Update status and renewal dates monthly.</w:t>
      </w:r>
    </w:p>
    <w:tbl>
      <w:tblPr>
        <w:tblW w:type="dxa" w:w="13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00"/>
        <w:gridCol w:w="2000"/>
        <w:gridCol w:w="1500"/>
        <w:gridCol w:w="1500"/>
        <w:gridCol w:w="1500"/>
        <w:gridCol w:w="1800"/>
      </w:tblGrid>
      <w:tr>
        <w:trPr>
          <w:tblHeader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Registration / licence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When it applies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Authority / portal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Applied on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Reference no.</w:t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Renewal / review date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PAN / TAN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Every entity; TAN if deducting tax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Issued with incorporation / NSDL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GST registration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Turnover above threshold, inter-state supply, e-commerce, or voluntary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GST portal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Udyam (MSME)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Micro, small and medium enterprises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udyamregistration.gov.in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DPIIT Startup recognition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Eligible startups seeking tax / IPR benefits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Startup India / NSWS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FSSAI licence / registration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Any food business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FoSCoS portal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Shops &amp; Establishment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Commercial establishments (state law)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State labour department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EPFO / ESIC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Employee thresholds under the Acts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EPFO / ESIC portals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Professional Tax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Where the state levies it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State tax department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Import Export Code (IEC)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Importers / exporters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DGFT portal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Trademark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Brand name / logo protection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Trade Marks Registry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Trade / local licence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As per local body rules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Municipal authority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Sector licence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Regulated activities (e.g. NBFC, drug, pollution consent)</w:t>
            </w:r>
          </w:p>
        </w:tc>
        <w:tc>
          <w:tcPr>
            <w:tcW w:type="dxa" w:w="2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Relevant regulator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120"/>
      </w:pPr>
      <w:r>
        <w:rPr>
          <w:rFonts w:ascii="Arial" w:cs="Arial" w:eastAsia="Arial" w:hAnsi="Arial"/>
          <w:i/>
          <w:iCs/>
          <w:color w:val="5B6770"/>
          <w:sz w:val="18"/>
          <w:szCs w:val="18"/>
        </w:rPr>
        <w:t xml:space="preserve">Status key: Not applicable • To apply • Applied • Granted • Renewal due.</w:t>
      </w:r>
    </w:p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Sign-off</w:t>
      </w:r>
    </w:p>
    <w:tbl>
      <w:tblPr>
        <w:tblW w:type="dxa" w:w="12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200"/>
        <w:gridCol w:w="4200"/>
      </w:tblGrid>
      <w:tr>
        <w:trPr>
          <w:tblHeader/>
        </w:trPr>
        <w:tc>
          <w:tcPr>
            <w:tcW w:type="dxa" w:w="42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Prepared by</w:t>
            </w:r>
          </w:p>
        </w:tc>
        <w:tc>
          <w:tcPr>
            <w:tcW w:type="dxa" w:w="42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Reviewed by</w:t>
            </w:r>
          </w:p>
        </w:tc>
        <w:tc>
          <w:tcPr>
            <w:tcW w:type="dxa" w:w="42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120"/>
      </w:pPr>
      <w:r>
        <w:rPr>
          <w:rFonts w:ascii="Arial" w:cs="Arial" w:eastAsia="Arial" w:hAnsi="Arial"/>
          <w:i/>
          <w:iCs/>
          <w:color w:val="5B6770"/>
          <w:sz w:val="18"/>
          <w:szCs w:val="18"/>
        </w:rPr>
        <w:t xml:space="preserve">This document is general information prepared by VK &amp; Associates for guidance only. It is not legal, tax or investment advice. Requirements depend on entity type, sector, state and current law; please verify dates, thresholds and forms on the relevant government portal before acting.</w:t>
      </w:r>
    </w:p>
    <w:sectPr>
      <w:headerReference w:type="default" r:id="rId7"/>
      <w:footerReference w:type="default" r:id="rId8"/>
      <w:pgSz w:w="16838" w:h="11906" w:orient="landscape"/>
      <w:pgMar w:top="12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6770"/>
        <w:sz w:val="15"/>
        <w:szCs w:val="15"/>
      </w:rPr>
      <w:t xml:space="preserve">E-124, GK-1, LGF, South Delhi, New Delhi – 110048  |  +91 99918 15090  |  vkassociates00@gmail.com  |  Page </w:t>
    </w:r>
    <w:r>
      <w:rPr>
        <w:rFonts w:ascii="Arial" w:cs="Arial" w:eastAsia="Arial" w:hAnsi="Arial"/>
        <w:color w:val="5B67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7922F" w:sz="4" w:space="4"/>
      </w:pBdr>
      <w:jc w:val="right"/>
    </w:pPr>
    <w:r>
      <w:rPr>
        <w:rFonts w:ascii="Arial" w:cs="Arial" w:eastAsia="Arial" w:hAnsi="Arial"/>
        <w:b/>
        <w:bCs/>
        <w:color w:val="123A5A"/>
        <w:sz w:val="17"/>
        <w:szCs w:val="17"/>
      </w:rPr>
      <w:t xml:space="preserve">VK &amp; Associates | Company Secretaries</w:t>
    </w:r>
    <w:r>
      <w:rPr>
        <w:rFonts w:ascii="Arial" w:cs="Arial" w:eastAsia="Arial" w:hAnsi="Arial"/>
        <w:color w:val="C7922F"/>
        <w:sz w:val="15"/>
        <w:szCs w:val="15"/>
      </w:rPr>
      <w:t xml:space="preserve">   Compliance Today • Sustainable Tomorrow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Arial" w:cs="Arial" w:eastAsia="Arial" w:hAnsi="Arial"/>
      <w:b/>
      <w:bCs/>
      <w:color w:val="123A5A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6F202C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Statutory Registrations &amp; Licenses Tracker</dc:title>
  <dc:creator>VK &amp; Associates</dc:creator>
  <cp:lastModifiedBy>Un-named</cp:lastModifiedBy>
  <cp:revision>1</cp:revision>
  <dcterms:created xsi:type="dcterms:W3CDTF">2026-09-28T10:06:15.476Z</dcterms:created>
  <dcterms:modified xsi:type="dcterms:W3CDTF">2026-09-28T10:06:15.476Z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