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00"/>
      </w:pPr>
      <w:r>
        <w:rPr>
          <w:rFonts w:ascii="Arial" w:cs="Arial" w:eastAsia="Arial" w:hAnsi="Arial"/>
          <w:b/>
          <w:bCs/>
          <w:color w:val="123A5A"/>
          <w:sz w:val="40"/>
          <w:szCs w:val="40"/>
        </w:rPr>
        <w:t xml:space="preserve">Pre-Funding &amp; Investor Due Diligence Readiness Checklist</w:t>
      </w:r>
    </w:p>
    <w:p>
      <w:pPr>
        <w:spacing w:after="160"/>
      </w:pPr>
      <w:r>
        <w:rPr>
          <w:rFonts w:ascii="Arial" w:cs="Arial" w:eastAsia="Arial" w:hAnsi="Arial"/>
          <w:color w:val="6F202C"/>
          <w:sz w:val="22"/>
          <w:szCs w:val="22"/>
        </w:rPr>
        <w:t xml:space="preserve">Prepare your data room before investors ask</w:t>
      </w:r>
    </w:p>
    <w:p>
      <w:pPr>
        <w:spacing w:after="100" w:before="0"/>
      </w:pPr>
      <w:r>
        <w:rPr>
          <w:rFonts w:ascii="Arial" w:cs="Arial" w:eastAsia="Arial" w:hAnsi="Arial"/>
          <w:color w:val="5B6770"/>
          <w:sz w:val="21"/>
          <w:szCs w:val="21"/>
        </w:rPr>
        <w:t xml:space="preserve">Investors run legal, financial and secretarial due diligence before closing. Use this list to prepare your data room in advance. Status: Ready / Partial / Missing.</w:t>
      </w:r>
    </w:p>
    <w:p>
      <w:pPr>
        <w:pStyle w:val="Heading1"/>
        <w:pBdr>
          <w:bottom w:val="single" w:color="C7922F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123A5A"/>
          <w:sz w:val="28"/>
          <w:szCs w:val="28"/>
        </w:rPr>
        <w:t xml:space="preserve">1. Corporate and secretarial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3000"/>
        <w:gridCol w:w="1500"/>
      </w:tblGrid>
      <w:tr>
        <w:trPr>
          <w:tblHeader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✓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Evidence / document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Status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Certificate of Incorporation, MOA and AOA (with all amendments)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MCA copies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Statutory registers up to date (members, directors, charges)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Register copies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Board and general meeting minutes, resolutions and notices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Signed minutes book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Annual filings (AOC-4, MGT-7) and DIR-3 KYC filed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SRN receipts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Director and KMP details, disclosures and consents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MBP-1, DIR-8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C7922F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123A5A"/>
          <w:sz w:val="28"/>
          <w:szCs w:val="28"/>
        </w:rPr>
        <w:t xml:space="preserve">2. Capital structure and past funding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3000"/>
        <w:gridCol w:w="1500"/>
      </w:tblGrid>
      <w:tr>
        <w:trPr>
          <w:tblHeader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✓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Evidence / document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Status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Current cap table (fully diluted) and share certificates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Excel cap table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Past allotments: PAS-3 filings, board and shareholder approvals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Filed forms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Valuation reports for past issues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Registered valuer report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Foreign investment filings, if any (FEMA / RBI reporting)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Reporting acknowledgements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ESOP plan, grants and vesting records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Plan and grant letters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Convertible notes, SAFEs or loan agreements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Signed agreements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C7922F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123A5A"/>
          <w:sz w:val="28"/>
          <w:szCs w:val="28"/>
        </w:rPr>
        <w:t xml:space="preserve">3. Financial and tax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3000"/>
        <w:gridCol w:w="1500"/>
      </w:tblGrid>
      <w:tr>
        <w:trPr>
          <w:tblHeader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✓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Evidence / document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Status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Audited financial statements (last 3 years) and latest management accounts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Audit reports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Financial model, projections and use-of-funds plan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Model file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Income-tax returns, TDS returns and assessment orders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Filing acknowledgements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GST registrations, returns and reconciliations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GSTR filings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Pending tax notices or demands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Notices and replies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C7922F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123A5A"/>
          <w:sz w:val="28"/>
          <w:szCs w:val="28"/>
        </w:rPr>
        <w:t xml:space="preserve">4. Commercial contracts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3000"/>
        <w:gridCol w:w="1500"/>
      </w:tblGrid>
      <w:tr>
        <w:trPr>
          <w:tblHeader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✓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Evidence / document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Status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Top customer and supplier agreements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Signed contracts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Related-party transactions and arrangements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Board approvals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Lease / office agreements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Deeds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Change-of-control, exclusivity or non-compete clauses identified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Contract summary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C7922F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123A5A"/>
          <w:sz w:val="28"/>
          <w:szCs w:val="28"/>
        </w:rPr>
        <w:t xml:space="preserve">5. Intellectual property and technology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3000"/>
        <w:gridCol w:w="1500"/>
      </w:tblGrid>
      <w:tr>
        <w:trPr>
          <w:tblHeader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✓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Evidence / document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Status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Trademark applications / registrations for brand and logo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Registry certificates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Assignment of IP from founders, employees and contractors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Assignment deeds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Domain names and software licences held in the company’s name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Registrar / licence records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Open-source usage and data-protection posture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Policy documents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C7922F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123A5A"/>
          <w:sz w:val="28"/>
          <w:szCs w:val="28"/>
        </w:rPr>
        <w:t xml:space="preserve">6. People and HR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3000"/>
        <w:gridCol w:w="1500"/>
      </w:tblGrid>
      <w:tr>
        <w:trPr>
          <w:tblHeader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✓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Evidence / document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Status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Founder and key-employee agreements, including confidentiality and IP terms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Signed agreements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EPF / ESI registrations and payment records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Challans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POSH policy and Internal Committee (if 10+ employees)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Policy and constitution order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Employee list, salary structure and bonus / gratuity records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HR records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C7922F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123A5A"/>
          <w:sz w:val="28"/>
          <w:szCs w:val="28"/>
        </w:rPr>
        <w:t xml:space="preserve">7. Licences, disputes and compliance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3000"/>
        <w:gridCol w:w="1500"/>
      </w:tblGrid>
      <w:tr>
        <w:trPr>
          <w:tblHeader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✓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Evidence / document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Status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Registrations and licences held (GST, Udyam, FSSAI, DPIIT etc.)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Certificates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Litigation, notices and regulatory correspondence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Case list and notices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Insurance policies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Policy copies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☐</w:t>
            </w:r>
          </w:p>
        </w:tc>
        <w:tc>
          <w:tcPr>
            <w:tcW w:type="dxa" w:w="44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Data room index and access permissions set up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Index sheet</w:t>
            </w:r>
          </w:p>
        </w:tc>
        <w:tc>
          <w:tcPr>
            <w:tcW w:type="dxa" w:w="1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C7922F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123A5A"/>
          <w:sz w:val="28"/>
          <w:szCs w:val="28"/>
        </w:rPr>
        <w:t xml:space="preserve">8. Investor pack</w:t>
      </w:r>
    </w:p>
    <w:p>
      <w:pPr>
        <w:spacing w:after="70"/>
        <w:ind w:left="360" w:hanging="360"/>
      </w:pPr>
      <w:r>
        <w:rPr>
          <w:rFonts w:ascii="Arial" w:cs="Arial" w:eastAsia="Arial" w:hAnsi="Arial"/>
          <w:color w:val="123A5A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Pitch deck and one-page summary.</w:t>
      </w:r>
    </w:p>
    <w:p>
      <w:pPr>
        <w:spacing w:after="70"/>
        <w:ind w:left="360" w:hanging="360"/>
      </w:pPr>
      <w:r>
        <w:rPr>
          <w:rFonts w:ascii="Arial" w:cs="Arial" w:eastAsia="Arial" w:hAnsi="Arial"/>
          <w:color w:val="123A5A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KPI dashboard and unit economics.</w:t>
      </w:r>
    </w:p>
    <w:p>
      <w:pPr>
        <w:spacing w:after="70"/>
        <w:ind w:left="360" w:hanging="360"/>
      </w:pPr>
      <w:r>
        <w:rPr>
          <w:rFonts w:ascii="Arial" w:cs="Arial" w:eastAsia="Arial" w:hAnsi="Arial"/>
          <w:color w:val="123A5A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Proposed term sheet position: valuation range, round size, key rights.</w:t>
      </w:r>
    </w:p>
    <w:p>
      <w:pPr>
        <w:spacing w:after="70"/>
        <w:ind w:left="360" w:hanging="360"/>
      </w:pPr>
      <w:r>
        <w:rPr>
          <w:rFonts w:ascii="Arial" w:cs="Arial" w:eastAsia="Arial" w:hAnsi="Arial"/>
          <w:color w:val="123A5A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Founders’ answers to standard investor questions rehearsed.</w:t>
      </w:r>
    </w:p>
    <w:p>
      <w:pPr>
        <w:spacing w:after="100" w:before="120"/>
      </w:pPr>
      <w:r>
        <w:rPr>
          <w:rFonts w:ascii="Arial" w:cs="Arial" w:eastAsia="Arial" w:hAnsi="Arial"/>
          <w:i/>
          <w:iCs/>
          <w:color w:val="5B6770"/>
          <w:sz w:val="18"/>
          <w:szCs w:val="18"/>
        </w:rPr>
        <w:t xml:space="preserve">This document is general information prepared by VK &amp; Associates for guidance only. It is not legal, tax or investment advice. Requirements depend on entity type, sector, state and current law; please verify dates, thresholds and forms on the relevant government portal before acting.</w:t>
      </w:r>
    </w:p>
    <w:sectPr>
      <w:headerReference w:type="default" r:id="rId7"/>
      <w:footerReference w:type="default" r:id="rId8"/>
      <w:pgSz w:w="11906" w:h="16838" w:orient="portrait"/>
      <w:pgMar w:top="12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B6770"/>
        <w:sz w:val="15"/>
        <w:szCs w:val="15"/>
      </w:rPr>
      <w:t xml:space="preserve">E-124, GK-1, LGF, South Delhi, New Delhi – 110048  |  +91 99918 15090  |  vkassociates00@gmail.com  |  Page </w:t>
    </w:r>
    <w:r>
      <w:rPr>
        <w:rFonts w:ascii="Arial" w:cs="Arial" w:eastAsia="Arial" w:hAnsi="Arial"/>
        <w:color w:val="5B677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7922F" w:sz="4" w:space="4"/>
      </w:pBdr>
      <w:jc w:val="right"/>
    </w:pPr>
    <w:r>
      <w:rPr>
        <w:rFonts w:ascii="Arial" w:cs="Arial" w:eastAsia="Arial" w:hAnsi="Arial"/>
        <w:b/>
        <w:bCs/>
        <w:color w:val="123A5A"/>
        <w:sz w:val="17"/>
        <w:szCs w:val="17"/>
      </w:rPr>
      <w:t xml:space="preserve">VK &amp; Associates | Company Secretaries</w:t>
    </w:r>
    <w:r>
      <w:rPr>
        <w:rFonts w:ascii="Arial" w:cs="Arial" w:eastAsia="Arial" w:hAnsi="Arial"/>
        <w:color w:val="C7922F"/>
        <w:sz w:val="15"/>
        <w:szCs w:val="15"/>
      </w:rPr>
      <w:t xml:space="preserve">   Compliance Today • Sustainable Tomorrow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rFonts w:ascii="Arial" w:cs="Arial" w:eastAsia="Arial" w:hAnsi="Arial"/>
      <w:b/>
      <w:bCs/>
      <w:color w:val="123A5A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6F202C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Pre-Funding &amp; Investor Due Diligence Readiness Checklist</dc:title>
  <dc:creator>VK &amp; Associates</dc:creator>
  <cp:lastModifiedBy>Un-named</cp:lastModifiedBy>
  <cp:revision>1</cp:revision>
  <dcterms:created xsi:type="dcterms:W3CDTF">2026-09-28T10:06:15.573Z</dcterms:created>
  <dcterms:modified xsi:type="dcterms:W3CDTF">2026-09-28T10:06:15.573Z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