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00"/>
      </w:pPr>
      <w:r>
        <w:rPr>
          <w:rFonts w:ascii="Arial" w:cs="Arial" w:eastAsia="Arial" w:hAnsi="Arial"/>
          <w:b/>
          <w:bCs/>
          <w:color w:val="123A5A"/>
          <w:sz w:val="40"/>
          <w:szCs w:val="40"/>
        </w:rPr>
        <w:t xml:space="preserve">New Business Incorporation &amp; Mandatory Compliances Checklist</w:t>
      </w:r>
    </w:p>
    <w:p>
      <w:pPr>
        <w:spacing w:after="160"/>
      </w:pPr>
      <w:r>
        <w:rPr>
          <w:rFonts w:ascii="Arial" w:cs="Arial" w:eastAsia="Arial" w:hAnsi="Arial"/>
          <w:color w:val="6F202C"/>
          <w:sz w:val="22"/>
          <w:szCs w:val="22"/>
        </w:rPr>
        <w:t xml:space="preserve">Founder checklist — from name search to the annual compliance calendar</w:t>
      </w:r>
    </w:p>
    <w:p>
      <w:pPr>
        <w:spacing w:after="100" w:before="0"/>
      </w:pPr>
      <w:r>
        <w:rPr>
          <w:rFonts w:ascii="Arial" w:cs="Arial" w:eastAsia="Arial" w:hAnsi="Arial"/>
          <w:color w:val="5B6770"/>
          <w:sz w:val="21"/>
          <w:szCs w:val="21"/>
        </w:rPr>
        <w:t xml:space="preserve">Use this checklist to move from idea to a compliant, funded-ready company. Tick each item as it is completed.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A. Before you incorporate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Decide the structure: Private Limited Company / LLP / One Person Company / Partnership (equity funding and ESOPs generally point to a private company).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Agree founder roles, shareholding split, vesting and exit terms in a written founders’ agreement.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Shortlist 2–3 names; check availability on the MCA portal and search trademark registry for conflicts.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Fix the registered office address and collect proof (utility bill, rent / ownership document, NOC from owner).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Define main objects / business activities and authorised and paid-up capital.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B. Incorporation documents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Identity and address proof of every subscriber / director (PAN, Aadhaar / passport, photograph, email, mobile).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Digital Signature Certificate (DSC) for each proposed director / subscriber.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Director Identification Number (DIN) applications through the incorporation form, where new.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Memorandum and Articles of Association (or LLP agreement) drafted and reviewed.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Consent to act as director and declarations by subscribers / first directors.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Incorporation application filed on MCA; Certificate of Incorporation with CIN, PAN and TAN received.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Company seal / stamp, statutory registers and bank account opened.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C. First-year mandatory compliances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First Board Meeting held (generally within 30 days of incorporation): appoint auditor, adopt common seal, disclose director interests, authorise bank account.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Appointment of first statutory auditor (Board, within 30 days of incorporation) and intimation on ADT-1.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Share certificates issued to subscribers (within 60 days of incorporation).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Deposit of subscription money and filing of the Declaration for Commencement of Business (INC-20A) within 180 days of incorporation.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Statutory registers set up: members, directors and KMP, charges, share transfers, minutes books.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Registrations as applicable: GST, Udyam / MSME, Shops &amp; Establishment, EPF / ESI, Professional Tax, IEC, FSSAI.</w:t>
      </w:r>
    </w:p>
    <w:p>
      <w:pPr>
        <w:spacing w:after="70"/>
        <w:ind w:left="360" w:hanging="360"/>
      </w:pPr>
      <w:r>
        <w:rPr>
          <w:rFonts w:ascii="Arial" w:cs="Arial" w:eastAsia="Arial" w:hAnsi="Arial"/>
          <w:color w:val="123A5A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Trademark search and application for brand name and logo.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D. Recurring annual compliance calendar (companies)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900"/>
        <w:gridCol w:w="3000"/>
      </w:tblGrid>
      <w:tr>
        <w:trPr>
          <w:tblHeader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Compliance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Typical due date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Board meetings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Minimum 4 per year; gap not exceeding 120 days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Certain small / one-person companies have relaxations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Annual General Meeting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Within 6 months of financial year end (by 30 September)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First AGM: within 9 months of first year end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AOC-4 (financial statements)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Within 30 days of AGM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Additional fee applies on delay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MGT-7 / 7A (annual return)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Within 60 days of AGM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Signed by Director / CS as applicable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DIR-3 KYC of directors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Annually as notified by MCA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Check current MCA rules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DPT-3 (return of deposits / outstanding loans)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30 June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Applicable to most companies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MSME Form 1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Half-yearly: 30 April and 31 October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If dues to MSME suppliers exceed 45 days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Income-tax return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31 July (non-audit) / 31 October (audit cases)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Check for extensions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TDS returns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Quarterly: 31 Jul, 31 Oct, 31 Jan, 31 May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Payments by the 7th of each month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GST returns</w:t>
            </w:r>
          </w:p>
        </w:tc>
        <w:tc>
          <w:tcPr>
            <w:tcW w:type="dxa" w:w="3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GSTR-1 by 11th, GSTR-3B by 20th (monthly)</w:t>
            </w:r>
          </w:p>
        </w:tc>
        <w:tc>
          <w:tcPr>
            <w:tcW w:type="dxa" w:w="30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>QRMP scheme has quarterly dates</w:t>
            </w:r>
          </w:p>
        </w:tc>
      </w:tr>
    </w:tbl>
    <w:p>
      <w:pPr>
        <w:spacing w:after="100" w:before="120"/>
      </w:pPr>
      <w:r>
        <w:rPr>
          <w:rFonts w:ascii="Arial" w:cs="Arial" w:eastAsia="Arial" w:hAnsi="Arial"/>
          <w:i/>
          <w:iCs/>
          <w:color w:val="5B6770"/>
          <w:sz w:val="18"/>
          <w:szCs w:val="18"/>
        </w:rPr>
        <w:t xml:space="preserve">LLPs: Form 11 (annual return) by 30 May and Form 8 (statement of account and solvency) by 30 October.</w:t>
      </w:r>
    </w:p>
    <w:p>
      <w:pPr>
        <w:pStyle w:val="Heading1"/>
        <w:pBdr>
          <w:bottom w:val="single" w:color="C7922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23A5A"/>
          <w:sz w:val="28"/>
          <w:szCs w:val="28"/>
        </w:rPr>
        <w:t xml:space="preserve">E. Sign-off</w:t>
      </w:r>
    </w:p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2900"/>
      </w:tblGrid>
      <w:tr>
        <w:trPr>
          <w:tblHeader/>
        </w:trPr>
        <w:tc>
          <w:tcPr>
            <w:tcW w:type="dxa" w:w="3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3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Reviewed by</w:t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123A5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  <w:tc>
          <w:tcPr>
            <w:tcW w:type="dxa" w:w="2900"/>
            <w:tcBorders>
              <w:top w:val="single" w:color="D9D2C3" w:sz="4"/>
              <w:left w:val="single" w:color="D9D2C3" w:sz="4"/>
              <w:bottom w:val="single" w:color="D9D2C3" w:sz="4"/>
              <w:right w:val="single" w:color="D9D2C3" w:sz="4"/>
            </w:tcBorders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43746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120"/>
      </w:pPr>
      <w:r>
        <w:rPr>
          <w:rFonts w:ascii="Arial" w:cs="Arial" w:eastAsia="Arial" w:hAnsi="Arial"/>
          <w:i/>
          <w:iCs/>
          <w:color w:val="5B6770"/>
          <w:sz w:val="18"/>
          <w:szCs w:val="18"/>
        </w:rPr>
        <w:t xml:space="preserve">This document is general information prepared by VK &amp; Associates for guidance only. It is not legal, tax or investment advice. Requirements depend on entity type, sector, state and current law; please verify dates, thresholds and forms on the relevant government portal before acting.</w:t>
      </w:r>
    </w:p>
    <w:sectPr>
      <w:headerReference w:type="default" r:id="rId7"/>
      <w:footerReference w:type="default" r:id="rId8"/>
      <w:pgSz w:w="11906" w:h="16838" w:orient="portrait"/>
      <w:pgMar w:top="12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770"/>
        <w:sz w:val="15"/>
        <w:szCs w:val="15"/>
      </w:rPr>
      <w:t xml:space="preserve">E-124, GK-1, LGF, South Delhi, New Delhi – 110048  |  +91 99918 15090  |  vkassociates00@gmail.com  |  Page </w:t>
    </w:r>
    <w:r>
      <w:rPr>
        <w:rFonts w:ascii="Arial" w:cs="Arial" w:eastAsia="Arial" w:hAnsi="Arial"/>
        <w:color w:val="5B67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922F" w:sz="4" w:space="4"/>
      </w:pBdr>
      <w:jc w:val="right"/>
    </w:pPr>
    <w:r>
      <w:rPr>
        <w:rFonts w:ascii="Arial" w:cs="Arial" w:eastAsia="Arial" w:hAnsi="Arial"/>
        <w:b/>
        <w:bCs/>
        <w:color w:val="123A5A"/>
        <w:sz w:val="17"/>
        <w:szCs w:val="17"/>
      </w:rPr>
      <w:t xml:space="preserve">VK &amp; Associates | Company Secretaries</w:t>
    </w:r>
    <w:r>
      <w:rPr>
        <w:rFonts w:ascii="Arial" w:cs="Arial" w:eastAsia="Arial" w:hAnsi="Arial"/>
        <w:color w:val="C7922F"/>
        <w:sz w:val="15"/>
        <w:szCs w:val="15"/>
      </w:rPr>
      <w:t xml:space="preserve">   Compliance Today • Sustainable Tomorrow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Arial" w:cs="Arial" w:eastAsia="Arial" w:hAnsi="Arial"/>
      <w:b/>
      <w:bCs/>
      <w:color w:val="123A5A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6F202C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Business Incorporation &amp; Mandatory Compliances Checklist</dc:title>
  <dc:creator>VK &amp; Associates</dc:creator>
  <cp:lastModifiedBy>Un-named</cp:lastModifiedBy>
  <cp:revision>1</cp:revision>
  <dcterms:created xsi:type="dcterms:W3CDTF">2026-09-28T10:06:15.353Z</dcterms:created>
  <dcterms:modified xsi:type="dcterms:W3CDTF">2026-09-28T10:06:15.363Z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